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Office of Human Resources, Title IX &amp; Institutional Compliance</w:t>
      </w:r>
    </w:p>
    <w:p>
      <w:pPr>
        <w:spacing w:after="160"/>
      </w:pPr>
      <w:r>
        <w:rPr>
          <w:b/>
          <w:bCs/>
        </w:rPr>
        <w:t xml:space="preserve">HR Viewbook 2026: Accessible Text Version</w:t>
      </w:r>
    </w:p>
    <w:p>
      <w:pPr>
        <w:spacing w:after="160"/>
      </w:pPr>
      <w:r>
        <w:t xml:space="preserve">Rooted in Mission. Committed to People.</w:t>
      </w:r>
    </w:p>
    <w:p>
      <w:pPr>
        <w:pStyle w:val="Heading1"/>
      </w:pPr>
      <w:r>
        <w:t xml:space="preserve">A Message from Our Chief Human Resources Officer</w:t>
      </w:r>
    </w:p>
    <w:p>
      <w:pPr>
        <w:spacing w:after="160"/>
      </w:pPr>
      <w:r>
        <w:t xml:space="preserve">Belmont University is a special place, set apart by its Christ-centered mission and by those who bring it to life daily. Our faculty and staff are vital in advancing Belmont's mission and vision, serving our students, and strengthening the community. Supporting our people is at the heart of the work of the Office of Human Resources, Title IX, and Institutional Compliance.</w:t>
      </w:r>
    </w:p>
    <w:p>
      <w:pPr>
        <w:spacing w:after="160"/>
      </w:pPr>
      <w:r>
        <w:t xml:space="preserve">This work is guided by four pillars:</w:t>
      </w:r>
    </w:p>
    <w:p>
      <w:pPr>
        <w:pStyle w:val="ListParagraph"/>
        <w:numPr>
          <w:ilvl w:val="0"/>
          <w:numId w:val="2"/>
        </w:numPr>
      </w:pPr>
      <w:r>
        <w:t xml:space="preserve">Excellence</w:t>
      </w:r>
    </w:p>
    <w:p>
      <w:pPr>
        <w:pStyle w:val="ListParagraph"/>
        <w:numPr>
          <w:ilvl w:val="0"/>
          <w:numId w:val="2"/>
        </w:numPr>
      </w:pPr>
      <w:r>
        <w:t xml:space="preserve">Effectiveness</w:t>
      </w:r>
    </w:p>
    <w:p>
      <w:pPr>
        <w:pStyle w:val="ListParagraph"/>
        <w:numPr>
          <w:ilvl w:val="0"/>
          <w:numId w:val="2"/>
        </w:numPr>
      </w:pPr>
      <w:r>
        <w:t xml:space="preserve">Efficiency</w:t>
      </w:r>
    </w:p>
    <w:p>
      <w:pPr>
        <w:pStyle w:val="ListParagraph"/>
        <w:numPr>
          <w:ilvl w:val="0"/>
          <w:numId w:val="2"/>
        </w:numPr>
      </w:pPr>
      <w:r>
        <w:t xml:space="preserve">Experience</w:t>
      </w:r>
    </w:p>
    <w:p>
      <w:pPr>
        <w:spacing w:after="80"/>
      </w:pPr>
    </w:p>
    <w:p>
      <w:pPr>
        <w:spacing w:after="160"/>
      </w:pPr>
      <w:r>
        <w:t xml:space="preserve">These pillars shape how we serve Belmont and reflect our commitment to continuous improvement. They connect us to our mission, challenge us to evolve alongside the University's maturation, and invite us to lean into Belmont's momentum with a posture of continually elevating the employee experience and anticipating the needs of the community.</w:t>
      </w:r>
    </w:p>
    <w:p>
      <w:pPr>
        <w:spacing w:after="160"/>
      </w:pPr>
      <w:r>
        <w:t xml:space="preserve">Through these pillars, we strive to be trusted partners, delivering exceptional service through thoughtful stewardship, innovation, and care.</w:t>
      </w:r>
    </w:p>
    <w:p>
      <w:pPr>
        <w:spacing w:after="160"/>
      </w:pPr>
      <w:r>
        <w:t xml:space="preserve">This look-book serves as an introduction to who we are, how we are organized, and, most importantly, how we are here to support you. We hope it provides a helpful resource as you navigate the many services, programs, and opportunities available to you.</w:t>
      </w:r>
    </w:p>
    <w:p>
      <w:pPr>
        <w:spacing w:after="160"/>
      </w:pPr>
      <w:r>
        <w:t xml:space="preserve">Thank you for all you do to make Belmont an exceptional place to learn, work, and serve. We are honored to partner with you in this important work.</w:t>
      </w:r>
    </w:p>
    <w:p>
      <w:pPr>
        <w:spacing w:after="160"/>
      </w:pPr>
      <w:r>
        <w:t xml:space="preserve">Go Bruins!</w:t>
      </w:r>
    </w:p>
    <w:p>
      <w:pPr>
        <w:spacing w:after="160"/>
      </w:pPr>
      <w:r>
        <w:rPr>
          <w:b/>
          <w:bCs/>
        </w:rPr>
        <w:t xml:space="preserve">Cleo Rucker, J.D.</w:t>
      </w:r>
    </w:p>
    <w:p>
      <w:pPr>
        <w:spacing w:after="160"/>
      </w:pPr>
      <w:r>
        <w:t xml:space="preserve">Vice President &amp; Chief Human Resources Officer</w:t>
      </w:r>
    </w:p>
    <w:p>
      <w:pPr>
        <w:pStyle w:val="Heading1"/>
      </w:pPr>
      <w:r>
        <w:t xml:space="preserve">How We're Organized</w:t>
      </w:r>
    </w:p>
    <w:p>
      <w:pPr>
        <w:spacing w:after="160"/>
      </w:pPr>
      <w:r>
        <w:t xml:space="preserve">The Office of Human Resources, Title IX &amp; Institutional Compliance is organized into six areas of practice, each focused on delivering specialized expertise in service to our faculty, staff and campus partners. The six areas are:</w:t>
      </w:r>
    </w:p>
    <w:p>
      <w:pPr>
        <w:pStyle w:val="ListParagraph"/>
        <w:numPr>
          <w:ilvl w:val="0"/>
          <w:numId w:val="2"/>
        </w:numPr>
      </w:pPr>
      <w:r>
        <w:t xml:space="preserve">HR Strategy &amp; Employee Relations</w:t>
      </w:r>
    </w:p>
    <w:p>
      <w:pPr>
        <w:pStyle w:val="ListParagraph"/>
        <w:numPr>
          <w:ilvl w:val="0"/>
          <w:numId w:val="2"/>
        </w:numPr>
      </w:pPr>
      <w:r>
        <w:t xml:space="preserve">HR Operations &amp; Engagement</w:t>
      </w:r>
    </w:p>
    <w:p>
      <w:pPr>
        <w:pStyle w:val="ListParagraph"/>
        <w:numPr>
          <w:ilvl w:val="0"/>
          <w:numId w:val="2"/>
        </w:numPr>
      </w:pPr>
      <w:r>
        <w:t xml:space="preserve">Compensation &amp; People Analytics</w:t>
      </w:r>
    </w:p>
    <w:p>
      <w:pPr>
        <w:pStyle w:val="ListParagraph"/>
        <w:numPr>
          <w:ilvl w:val="0"/>
          <w:numId w:val="2"/>
        </w:numPr>
      </w:pPr>
      <w:r>
        <w:t xml:space="preserve">Benefits</w:t>
      </w:r>
    </w:p>
    <w:p>
      <w:pPr>
        <w:pStyle w:val="ListParagraph"/>
        <w:numPr>
          <w:ilvl w:val="0"/>
          <w:numId w:val="2"/>
        </w:numPr>
      </w:pPr>
      <w:r>
        <w:t xml:space="preserve">Talent Acquisition</w:t>
      </w:r>
    </w:p>
    <w:p>
      <w:pPr>
        <w:pStyle w:val="ListParagraph"/>
        <w:numPr>
          <w:ilvl w:val="0"/>
          <w:numId w:val="2"/>
        </w:numPr>
      </w:pPr>
      <w:r>
        <w:t xml:space="preserve">Title IX &amp; Institutional Compliance</w:t>
      </w:r>
    </w:p>
    <w:p>
      <w:pPr>
        <w:spacing w:after="80"/>
      </w:pPr>
    </w:p>
    <w:p>
      <w:pPr>
        <w:pStyle w:val="Heading2"/>
      </w:pPr>
      <w:r>
        <w:t xml:space="preserve">HR Strategy &amp; Employee Relations</w:t>
      </w:r>
    </w:p>
    <w:p>
      <w:pPr>
        <w:spacing w:after="160"/>
      </w:pPr>
      <w:r>
        <w:t xml:space="preserve">Partners with leaders, deans and managers across campus to build a high-performing, employee-centered culture. This team oversees HR Partners, guides organizational effectiveness, leads employee relations, and ensures HR strategies are aligned with the University's institutional priorities.</w:t>
      </w:r>
    </w:p>
    <w:p>
      <w:pPr>
        <w:spacing w:after="80" w:before="120"/>
      </w:pPr>
      <w:r>
        <w:rPr>
          <w:b/>
          <w:bCs/>
        </w:rPr>
        <w:t xml:space="preserve">We're here to help with:</w:t>
      </w:r>
    </w:p>
    <w:p>
      <w:pPr>
        <w:pStyle w:val="ListParagraph"/>
        <w:numPr>
          <w:ilvl w:val="0"/>
          <w:numId w:val="2"/>
        </w:numPr>
      </w:pPr>
      <w:r>
        <w:t xml:space="preserve">Navigating a performance or conduct concern</w:t>
      </w:r>
    </w:p>
    <w:p>
      <w:pPr>
        <w:pStyle w:val="ListParagraph"/>
        <w:numPr>
          <w:ilvl w:val="0"/>
          <w:numId w:val="2"/>
        </w:numPr>
      </w:pPr>
      <w:r>
        <w:t xml:space="preserve">Managing a workplace conflict or employee relations matter</w:t>
      </w:r>
    </w:p>
    <w:p>
      <w:pPr>
        <w:pStyle w:val="ListParagraph"/>
        <w:numPr>
          <w:ilvl w:val="0"/>
          <w:numId w:val="2"/>
        </w:numPr>
      </w:pPr>
      <w:r>
        <w:t xml:space="preserve">Understanding HR policy and how it applies to your team</w:t>
      </w:r>
    </w:p>
    <w:p>
      <w:pPr>
        <w:pStyle w:val="ListParagraph"/>
        <w:numPr>
          <w:ilvl w:val="0"/>
          <w:numId w:val="2"/>
        </w:numPr>
      </w:pPr>
      <w:r>
        <w:t xml:space="preserve">Thinking through organizational changes or team restructuring</w:t>
      </w:r>
    </w:p>
    <w:p>
      <w:pPr>
        <w:pStyle w:val="ListParagraph"/>
        <w:numPr>
          <w:ilvl w:val="0"/>
          <w:numId w:val="2"/>
        </w:numPr>
      </w:pPr>
      <w:r>
        <w:t xml:space="preserve">Workforce planning and position management</w:t>
      </w:r>
    </w:p>
    <w:p>
      <w:pPr>
        <w:pStyle w:val="ListParagraph"/>
        <w:numPr>
          <w:ilvl w:val="0"/>
          <w:numId w:val="2"/>
        </w:numPr>
      </w:pPr>
      <w:r>
        <w:t xml:space="preserve">Coaching on leadership and people management practices</w:t>
      </w:r>
    </w:p>
    <w:p>
      <w:pPr>
        <w:spacing w:after="80"/>
      </w:pPr>
    </w:p>
    <w:p>
      <w:pPr>
        <w:pStyle w:val="Heading3"/>
      </w:pPr>
      <w:r>
        <w:t xml:space="preserve">Team</w:t>
      </w:r>
    </w:p>
    <w:p>
      <w:pPr>
        <w:pStyle w:val="Heading4"/>
      </w:pPr>
      <w:r>
        <w:t xml:space="preserve">Teea Prather</w:t>
      </w:r>
    </w:p>
    <w:p>
      <w:pPr>
        <w:spacing w:after="160"/>
      </w:pPr>
      <w:r>
        <w:rPr>
          <w:i/>
          <w:iCs/>
        </w:rPr>
        <w:t xml:space="preserve">Director of HR Strategy &amp; Employee Relations</w:t>
      </w:r>
    </w:p>
    <w:p>
      <w:pPr>
        <w:spacing w:after="160"/>
      </w:pPr>
      <w:r>
        <w:t xml:space="preserve">Sets the strategic direction for HR's partnership with campus leaders, deans and managers, shaping how the team builds trust and drives change across the University.</w:t>
      </w:r>
    </w:p>
    <w:p>
      <w:pPr>
        <w:pStyle w:val="Heading4"/>
      </w:pPr>
      <w:r>
        <w:t xml:space="preserve">Andrea McClain</w:t>
      </w:r>
    </w:p>
    <w:p>
      <w:pPr>
        <w:spacing w:after="160"/>
      </w:pPr>
      <w:r>
        <w:rPr>
          <w:i/>
          <w:iCs/>
        </w:rPr>
        <w:t xml:space="preserve">Employee Relations Advisor</w:t>
      </w:r>
    </w:p>
    <w:p>
      <w:pPr>
        <w:spacing w:after="160"/>
      </w:pPr>
      <w:r>
        <w:t xml:space="preserve">Manages complex employee relations cases, investigations, and mediation for faculty and staff.</w:t>
      </w:r>
    </w:p>
    <w:p>
      <w:pPr>
        <w:pStyle w:val="Heading3"/>
      </w:pPr>
      <w:r>
        <w:t xml:space="preserve">Your HR Partners</w:t>
      </w:r>
    </w:p>
    <w:p>
      <w:pPr>
        <w:spacing w:after="160"/>
      </w:pPr>
      <w:r>
        <w:t xml:space="preserve">The go-to resource for people strategy, employee relations, policy guidance and day-to-day HR support. Each HR Partner supports the areas listed below.</w:t>
      </w:r>
    </w:p>
    <w:p>
      <w:pPr>
        <w:pStyle w:val="Heading4"/>
      </w:pPr>
      <w:r>
        <w:t xml:space="preserve">Nahosha Braziel-Adams</w:t>
      </w:r>
    </w:p>
    <w:p>
      <w:pPr>
        <w:spacing w:after="160"/>
      </w:pPr>
      <w:r>
        <w:rPr>
          <w:i/>
          <w:iCs/>
        </w:rPr>
        <w:t xml:space="preserve">HR Partner</w:t>
      </w:r>
    </w:p>
    <w:p>
      <w:pPr>
        <w:spacing w:after="160"/>
      </w:pPr>
      <w:r>
        <w:rPr>
          <w:b/>
          <w:bCs/>
        </w:rPr>
        <w:t xml:space="preserve">Areas supported:</w:t>
      </w:r>
    </w:p>
    <w:p>
      <w:pPr>
        <w:pStyle w:val="ListParagraph"/>
        <w:numPr>
          <w:ilvl w:val="0"/>
          <w:numId w:val="2"/>
        </w:numPr>
      </w:pPr>
      <w:r>
        <w:t xml:space="preserve">Government &amp; Community Relations</w:t>
      </w:r>
    </w:p>
    <w:p>
      <w:pPr>
        <w:pStyle w:val="ListParagraph"/>
        <w:numPr>
          <w:ilvl w:val="0"/>
          <w:numId w:val="2"/>
        </w:numPr>
      </w:pPr>
      <w:r>
        <w:t xml:space="preserve">Marketing &amp; Communications</w:t>
      </w:r>
    </w:p>
    <w:p>
      <w:pPr>
        <w:pStyle w:val="ListParagraph"/>
        <w:numPr>
          <w:ilvl w:val="0"/>
          <w:numId w:val="2"/>
        </w:numPr>
      </w:pPr>
      <w:r>
        <w:t xml:space="preserve">Risk Management &amp; Compliance</w:t>
      </w:r>
    </w:p>
    <w:p>
      <w:pPr>
        <w:pStyle w:val="ListParagraph"/>
        <w:numPr>
          <w:ilvl w:val="0"/>
          <w:numId w:val="2"/>
        </w:numPr>
      </w:pPr>
      <w:r>
        <w:t xml:space="preserve">University Counsel &amp; EVP External Engagement</w:t>
      </w:r>
    </w:p>
    <w:p>
      <w:pPr>
        <w:pStyle w:val="ListParagraph"/>
        <w:numPr>
          <w:ilvl w:val="0"/>
          <w:numId w:val="2"/>
        </w:numPr>
      </w:pPr>
      <w:r>
        <w:t xml:space="preserve">Campus Security</w:t>
      </w:r>
    </w:p>
    <w:p>
      <w:pPr>
        <w:pStyle w:val="ListParagraph"/>
        <w:numPr>
          <w:ilvl w:val="0"/>
          <w:numId w:val="2"/>
        </w:numPr>
      </w:pPr>
      <w:r>
        <w:t xml:space="preserve">Athletics</w:t>
      </w:r>
    </w:p>
    <w:p>
      <w:pPr>
        <w:pStyle w:val="ListParagraph"/>
        <w:numPr>
          <w:ilvl w:val="0"/>
          <w:numId w:val="2"/>
        </w:numPr>
      </w:pPr>
      <w:r>
        <w:t xml:space="preserve">College of Education</w:t>
      </w:r>
    </w:p>
    <w:p>
      <w:pPr>
        <w:pStyle w:val="ListParagraph"/>
        <w:numPr>
          <w:ilvl w:val="0"/>
          <w:numId w:val="2"/>
        </w:numPr>
      </w:pPr>
      <w:r>
        <w:t xml:space="preserve">Bridges to Belmont</w:t>
      </w:r>
    </w:p>
    <w:p>
      <w:pPr>
        <w:pStyle w:val="ListParagraph"/>
        <w:numPr>
          <w:ilvl w:val="0"/>
          <w:numId w:val="2"/>
        </w:numPr>
      </w:pPr>
      <w:r>
        <w:t xml:space="preserve">Little Bruins</w:t>
      </w:r>
    </w:p>
    <w:p>
      <w:pPr>
        <w:pStyle w:val="ListParagraph"/>
        <w:numPr>
          <w:ilvl w:val="0"/>
          <w:numId w:val="2"/>
        </w:numPr>
      </w:pPr>
      <w:r>
        <w:t xml:space="preserve">Fast Forward Program</w:t>
      </w:r>
    </w:p>
    <w:p>
      <w:pPr>
        <w:pStyle w:val="ListParagraph"/>
        <w:numPr>
          <w:ilvl w:val="0"/>
          <w:numId w:val="2"/>
        </w:numPr>
      </w:pPr>
      <w:r>
        <w:t xml:space="preserve">College of Science &amp; Mathematics</w:t>
      </w:r>
    </w:p>
    <w:p>
      <w:pPr>
        <w:pStyle w:val="ListParagraph"/>
        <w:numPr>
          <w:ilvl w:val="0"/>
          <w:numId w:val="2"/>
        </w:numPr>
      </w:pPr>
      <w:r>
        <w:t xml:space="preserve">College of Entertainment &amp; Music Business</w:t>
      </w:r>
    </w:p>
    <w:p>
      <w:pPr>
        <w:pStyle w:val="ListParagraph"/>
        <w:numPr>
          <w:ilvl w:val="0"/>
          <w:numId w:val="2"/>
        </w:numPr>
      </w:pPr>
      <w:r>
        <w:t xml:space="preserve">Oceanway</w:t>
      </w:r>
    </w:p>
    <w:p>
      <w:pPr>
        <w:pStyle w:val="ListParagraph"/>
        <w:numPr>
          <w:ilvl w:val="0"/>
          <w:numId w:val="2"/>
        </w:numPr>
      </w:pPr>
      <w:r>
        <w:t xml:space="preserve">34 Music Square E</w:t>
      </w:r>
    </w:p>
    <w:p>
      <w:pPr>
        <w:pStyle w:val="ListParagraph"/>
        <w:numPr>
          <w:ilvl w:val="0"/>
          <w:numId w:val="2"/>
        </w:numPr>
      </w:pPr>
      <w:r>
        <w:t xml:space="preserve">RCA Studios</w:t>
      </w:r>
    </w:p>
    <w:p>
      <w:pPr>
        <w:pStyle w:val="ListParagraph"/>
        <w:numPr>
          <w:ilvl w:val="0"/>
          <w:numId w:val="2"/>
        </w:numPr>
      </w:pPr>
      <w:r>
        <w:t xml:space="preserve">Belmont Mansion</w:t>
      </w:r>
    </w:p>
    <w:p>
      <w:pPr>
        <w:pStyle w:val="ListParagraph"/>
        <w:numPr>
          <w:ilvl w:val="0"/>
          <w:numId w:val="2"/>
        </w:numPr>
      </w:pPr>
      <w:r>
        <w:t xml:space="preserve">EVP Financial Excellence &amp; CFO</w:t>
      </w:r>
    </w:p>
    <w:p>
      <w:pPr>
        <w:pStyle w:val="ListParagraph"/>
        <w:numPr>
          <w:ilvl w:val="0"/>
          <w:numId w:val="2"/>
        </w:numPr>
      </w:pPr>
      <w:r>
        <w:t xml:space="preserve">Facilities Management Services</w:t>
      </w:r>
    </w:p>
    <w:p>
      <w:pPr>
        <w:pStyle w:val="ListParagraph"/>
        <w:numPr>
          <w:ilvl w:val="0"/>
          <w:numId w:val="2"/>
        </w:numPr>
      </w:pPr>
      <w:r>
        <w:t xml:space="preserve">Finance &amp; Accounting</w:t>
      </w:r>
    </w:p>
    <w:p>
      <w:pPr>
        <w:pStyle w:val="ListParagraph"/>
        <w:numPr>
          <w:ilvl w:val="0"/>
          <w:numId w:val="2"/>
        </w:numPr>
      </w:pPr>
      <w:r>
        <w:t xml:space="preserve">Strategic Venues &amp; Event Services</w:t>
      </w:r>
    </w:p>
    <w:p>
      <w:pPr>
        <w:pStyle w:val="ListParagraph"/>
        <w:numPr>
          <w:ilvl w:val="0"/>
          <w:numId w:val="2"/>
        </w:numPr>
      </w:pPr>
      <w:r>
        <w:t xml:space="preserve">Auxiliary Services</w:t>
      </w:r>
    </w:p>
    <w:p>
      <w:pPr>
        <w:pStyle w:val="ListParagraph"/>
        <w:numPr>
          <w:ilvl w:val="0"/>
          <w:numId w:val="2"/>
        </w:numPr>
      </w:pPr>
      <w:r>
        <w:t xml:space="preserve">Bruin Shop</w:t>
      </w:r>
    </w:p>
    <w:p>
      <w:pPr>
        <w:pStyle w:val="Heading4"/>
      </w:pPr>
      <w:r>
        <w:t xml:space="preserve">Larry Cohen</w:t>
      </w:r>
    </w:p>
    <w:p>
      <w:pPr>
        <w:spacing w:after="160"/>
      </w:pPr>
      <w:r>
        <w:rPr>
          <w:i/>
          <w:iCs/>
        </w:rPr>
        <w:t xml:space="preserve">HR Partner</w:t>
      </w:r>
    </w:p>
    <w:p>
      <w:pPr>
        <w:spacing w:after="160"/>
      </w:pPr>
      <w:r>
        <w:rPr>
          <w:b/>
          <w:bCs/>
        </w:rPr>
        <w:t xml:space="preserve">Areas supported:</w:t>
      </w:r>
    </w:p>
    <w:p>
      <w:pPr>
        <w:pStyle w:val="ListParagraph"/>
        <w:numPr>
          <w:ilvl w:val="0"/>
          <w:numId w:val="2"/>
        </w:numPr>
      </w:pPr>
      <w:r>
        <w:t xml:space="preserve">College of Pharmacy and Health Sciences</w:t>
      </w:r>
    </w:p>
    <w:p>
      <w:pPr>
        <w:pStyle w:val="ListParagraph"/>
        <w:numPr>
          <w:ilvl w:val="0"/>
          <w:numId w:val="2"/>
        </w:numPr>
      </w:pPr>
      <w:r>
        <w:t xml:space="preserve">College of Nursing</w:t>
      </w:r>
    </w:p>
    <w:p>
      <w:pPr>
        <w:pStyle w:val="ListParagraph"/>
        <w:numPr>
          <w:ilvl w:val="0"/>
          <w:numId w:val="2"/>
        </w:numPr>
      </w:pPr>
      <w:r>
        <w:t xml:space="preserve">Frist College of Medicine</w:t>
      </w:r>
    </w:p>
    <w:p>
      <w:pPr>
        <w:pStyle w:val="ListParagraph"/>
        <w:numPr>
          <w:ilvl w:val="0"/>
          <w:numId w:val="2"/>
        </w:numPr>
      </w:pPr>
      <w:r>
        <w:t xml:space="preserve">Office of the Provost</w:t>
      </w:r>
    </w:p>
    <w:p>
      <w:pPr>
        <w:pStyle w:val="ListParagraph"/>
        <w:numPr>
          <w:ilvl w:val="0"/>
          <w:numId w:val="2"/>
        </w:numPr>
      </w:pPr>
      <w:r>
        <w:t xml:space="preserve">Office Vice Provost Research/Strategic Initiatives</w:t>
      </w:r>
    </w:p>
    <w:p>
      <w:pPr>
        <w:pStyle w:val="ListParagraph"/>
        <w:numPr>
          <w:ilvl w:val="0"/>
          <w:numId w:val="2"/>
        </w:numPr>
      </w:pPr>
      <w:r>
        <w:t xml:space="preserve">Simulation Center</w:t>
      </w:r>
    </w:p>
    <w:p>
      <w:pPr>
        <w:pStyle w:val="ListParagraph"/>
        <w:numPr>
          <w:ilvl w:val="0"/>
          <w:numId w:val="2"/>
        </w:numPr>
      </w:pPr>
      <w:r>
        <w:t xml:space="preserve">Office of Sponsored Programs</w:t>
      </w:r>
    </w:p>
    <w:p>
      <w:pPr>
        <w:pStyle w:val="ListParagraph"/>
        <w:numPr>
          <w:ilvl w:val="0"/>
          <w:numId w:val="2"/>
        </w:numPr>
      </w:pPr>
      <w:r>
        <w:t xml:space="preserve">Belmont Data &amp; AI Collaborative</w:t>
      </w:r>
    </w:p>
    <w:p>
      <w:pPr>
        <w:pStyle w:val="ListParagraph"/>
        <w:numPr>
          <w:ilvl w:val="0"/>
          <w:numId w:val="2"/>
        </w:numPr>
      </w:pPr>
      <w:r>
        <w:t xml:space="preserve">Assessment &amp; Institutional Research</w:t>
      </w:r>
    </w:p>
    <w:p>
      <w:pPr>
        <w:pStyle w:val="ListParagraph"/>
        <w:numPr>
          <w:ilvl w:val="0"/>
          <w:numId w:val="2"/>
        </w:numPr>
      </w:pPr>
      <w:r>
        <w:t xml:space="preserve">Library Services</w:t>
      </w:r>
    </w:p>
    <w:p>
      <w:pPr>
        <w:pStyle w:val="ListParagraph"/>
        <w:numPr>
          <w:ilvl w:val="0"/>
          <w:numId w:val="2"/>
        </w:numPr>
      </w:pPr>
      <w:r>
        <w:t xml:space="preserve">Office Vice Provost Academic Excellence</w:t>
      </w:r>
    </w:p>
    <w:p>
      <w:pPr>
        <w:pStyle w:val="ListParagraph"/>
        <w:numPr>
          <w:ilvl w:val="0"/>
          <w:numId w:val="2"/>
        </w:numPr>
      </w:pPr>
      <w:r>
        <w:t xml:space="preserve">Student Success &amp; Flourishing</w:t>
      </w:r>
    </w:p>
    <w:p>
      <w:pPr>
        <w:pStyle w:val="ListParagraph"/>
        <w:numPr>
          <w:ilvl w:val="0"/>
          <w:numId w:val="2"/>
        </w:numPr>
      </w:pPr>
      <w:r>
        <w:t xml:space="preserve">Belmont Central</w:t>
      </w:r>
    </w:p>
    <w:p>
      <w:pPr>
        <w:pStyle w:val="ListParagraph"/>
        <w:numPr>
          <w:ilvl w:val="0"/>
          <w:numId w:val="2"/>
        </w:numPr>
      </w:pPr>
      <w:r>
        <w:t xml:space="preserve">Career &amp; Professional Development</w:t>
      </w:r>
    </w:p>
    <w:p>
      <w:pPr>
        <w:pStyle w:val="ListParagraph"/>
        <w:numPr>
          <w:ilvl w:val="0"/>
          <w:numId w:val="2"/>
        </w:numPr>
      </w:pPr>
      <w:r>
        <w:t xml:space="preserve">Growth &amp; Purpose for Students</w:t>
      </w:r>
    </w:p>
    <w:p>
      <w:pPr>
        <w:pStyle w:val="ListParagraph"/>
        <w:numPr>
          <w:ilvl w:val="0"/>
          <w:numId w:val="2"/>
        </w:numPr>
      </w:pPr>
      <w:r>
        <w:t xml:space="preserve">Learning &amp; Testing Centers</w:t>
      </w:r>
    </w:p>
    <w:p>
      <w:pPr>
        <w:pStyle w:val="ListParagraph"/>
        <w:numPr>
          <w:ilvl w:val="0"/>
          <w:numId w:val="2"/>
        </w:numPr>
      </w:pPr>
      <w:r>
        <w:t xml:space="preserve">International Student Engagement</w:t>
      </w:r>
    </w:p>
    <w:p>
      <w:pPr>
        <w:pStyle w:val="ListParagraph"/>
        <w:numPr>
          <w:ilvl w:val="0"/>
          <w:numId w:val="2"/>
        </w:numPr>
      </w:pPr>
      <w:r>
        <w:t xml:space="preserve">Office of University Registrar</w:t>
      </w:r>
    </w:p>
    <w:p>
      <w:pPr>
        <w:pStyle w:val="ListParagraph"/>
        <w:numPr>
          <w:ilvl w:val="0"/>
          <w:numId w:val="2"/>
        </w:numPr>
      </w:pPr>
      <w:r>
        <w:t xml:space="preserve">University Advancement</w:t>
      </w:r>
    </w:p>
    <w:p>
      <w:pPr>
        <w:pStyle w:val="ListParagraph"/>
        <w:numPr>
          <w:ilvl w:val="0"/>
          <w:numId w:val="2"/>
        </w:numPr>
      </w:pPr>
      <w:r>
        <w:t xml:space="preserve">Office of the President</w:t>
      </w:r>
    </w:p>
    <w:p>
      <w:pPr>
        <w:pStyle w:val="ListParagraph"/>
        <w:numPr>
          <w:ilvl w:val="0"/>
          <w:numId w:val="2"/>
        </w:numPr>
      </w:pPr>
      <w:r>
        <w:t xml:space="preserve">Missional Initiatives</w:t>
      </w:r>
    </w:p>
    <w:p>
      <w:pPr>
        <w:pStyle w:val="ListParagraph"/>
        <w:numPr>
          <w:ilvl w:val="0"/>
          <w:numId w:val="2"/>
        </w:numPr>
      </w:pPr>
      <w:r>
        <w:t xml:space="preserve">Office of Hope, Unity and Belonging</w:t>
      </w:r>
    </w:p>
    <w:p>
      <w:pPr>
        <w:pStyle w:val="ListParagraph"/>
        <w:numPr>
          <w:ilvl w:val="0"/>
          <w:numId w:val="2"/>
        </w:numPr>
      </w:pPr>
      <w:r>
        <w:t xml:space="preserve">University Ministries</w:t>
      </w:r>
    </w:p>
    <w:p>
      <w:pPr>
        <w:pStyle w:val="ListParagraph"/>
        <w:numPr>
          <w:ilvl w:val="0"/>
          <w:numId w:val="2"/>
        </w:numPr>
      </w:pPr>
      <w:r>
        <w:t xml:space="preserve">VP Church Relations</w:t>
      </w:r>
    </w:p>
    <w:p>
      <w:pPr>
        <w:pStyle w:val="ListParagraph"/>
        <w:numPr>
          <w:ilvl w:val="0"/>
          <w:numId w:val="2"/>
        </w:numPr>
      </w:pPr>
      <w:r>
        <w:t xml:space="preserve">Rev. Curb Center for Faith Leadership</w:t>
      </w:r>
    </w:p>
    <w:p>
      <w:pPr>
        <w:pStyle w:val="ListParagraph"/>
        <w:numPr>
          <w:ilvl w:val="0"/>
          <w:numId w:val="2"/>
        </w:numPr>
      </w:pPr>
      <w:r>
        <w:t xml:space="preserve">Chief of Staff &amp; EVP for Administration</w:t>
      </w:r>
    </w:p>
    <w:p>
      <w:pPr>
        <w:pStyle w:val="ListParagraph"/>
        <w:numPr>
          <w:ilvl w:val="0"/>
          <w:numId w:val="2"/>
        </w:numPr>
      </w:pPr>
      <w:r>
        <w:t xml:space="preserve">Human Resources, Title IX and Institutional Compliance</w:t>
      </w:r>
    </w:p>
    <w:p>
      <w:pPr>
        <w:pStyle w:val="ListParagraph"/>
        <w:numPr>
          <w:ilvl w:val="0"/>
          <w:numId w:val="2"/>
        </w:numPr>
      </w:pPr>
      <w:r>
        <w:t xml:space="preserve">Information Technology</w:t>
      </w:r>
    </w:p>
    <w:p>
      <w:pPr>
        <w:pStyle w:val="ListParagraph"/>
        <w:numPr>
          <w:ilvl w:val="0"/>
          <w:numId w:val="2"/>
        </w:numPr>
      </w:pPr>
      <w:r>
        <w:t xml:space="preserve">Creative Arts Collective</w:t>
      </w:r>
    </w:p>
    <w:p>
      <w:pPr>
        <w:pStyle w:val="ListParagraph"/>
        <w:numPr>
          <w:ilvl w:val="0"/>
          <w:numId w:val="2"/>
        </w:numPr>
      </w:pPr>
      <w:r>
        <w:t xml:space="preserve">National Storytelling Coordination Program</w:t>
      </w:r>
    </w:p>
    <w:p>
      <w:pPr>
        <w:pStyle w:val="ListParagraph"/>
        <w:numPr>
          <w:ilvl w:val="0"/>
          <w:numId w:val="2"/>
        </w:numPr>
      </w:pPr>
      <w:r>
        <w:t xml:space="preserve">VP Imagination</w:t>
      </w:r>
    </w:p>
    <w:p>
      <w:pPr>
        <w:pStyle w:val="Heading4"/>
      </w:pPr>
      <w:r>
        <w:t xml:space="preserve">Morgan Miller</w:t>
      </w:r>
    </w:p>
    <w:p>
      <w:pPr>
        <w:spacing w:after="160"/>
      </w:pPr>
      <w:r>
        <w:rPr>
          <w:i/>
          <w:iCs/>
        </w:rPr>
        <w:t xml:space="preserve">HR Partner</w:t>
      </w:r>
    </w:p>
    <w:p>
      <w:pPr>
        <w:spacing w:after="160"/>
      </w:pPr>
      <w:r>
        <w:rPr>
          <w:b/>
          <w:bCs/>
        </w:rPr>
        <w:t xml:space="preserve">Areas supported:</w:t>
      </w:r>
    </w:p>
    <w:p>
      <w:pPr>
        <w:pStyle w:val="ListParagraph"/>
        <w:numPr>
          <w:ilvl w:val="0"/>
          <w:numId w:val="2"/>
        </w:numPr>
      </w:pPr>
      <w:r>
        <w:t xml:space="preserve">College of Architecture &amp; Design</w:t>
      </w:r>
    </w:p>
    <w:p>
      <w:pPr>
        <w:pStyle w:val="ListParagraph"/>
        <w:numPr>
          <w:ilvl w:val="0"/>
          <w:numId w:val="2"/>
        </w:numPr>
      </w:pPr>
      <w:r>
        <w:t xml:space="preserve">College of Art</w:t>
      </w:r>
    </w:p>
    <w:p>
      <w:pPr>
        <w:pStyle w:val="ListParagraph"/>
        <w:numPr>
          <w:ilvl w:val="0"/>
          <w:numId w:val="2"/>
        </w:numPr>
      </w:pPr>
      <w:r>
        <w:t xml:space="preserve">College of Business</w:t>
      </w:r>
    </w:p>
    <w:p>
      <w:pPr>
        <w:pStyle w:val="ListParagraph"/>
        <w:numPr>
          <w:ilvl w:val="0"/>
          <w:numId w:val="2"/>
        </w:numPr>
      </w:pPr>
      <w:r>
        <w:t xml:space="preserve">College of Law</w:t>
      </w:r>
    </w:p>
    <w:p>
      <w:pPr>
        <w:pStyle w:val="ListParagraph"/>
        <w:numPr>
          <w:ilvl w:val="0"/>
          <w:numId w:val="2"/>
        </w:numPr>
      </w:pPr>
      <w:r>
        <w:t xml:space="preserve">College of Liberal Arts &amp; Sciences</w:t>
      </w:r>
    </w:p>
    <w:p>
      <w:pPr>
        <w:pStyle w:val="ListParagraph"/>
        <w:numPr>
          <w:ilvl w:val="0"/>
          <w:numId w:val="2"/>
        </w:numPr>
      </w:pPr>
      <w:r>
        <w:t xml:space="preserve">College of Music &amp; Performing Arts</w:t>
      </w:r>
    </w:p>
    <w:p>
      <w:pPr>
        <w:pStyle w:val="ListParagraph"/>
        <w:numPr>
          <w:ilvl w:val="0"/>
          <w:numId w:val="2"/>
        </w:numPr>
      </w:pPr>
      <w:r>
        <w:t xml:space="preserve">Belmont Academy</w:t>
      </w:r>
    </w:p>
    <w:p>
      <w:pPr>
        <w:pStyle w:val="ListParagraph"/>
        <w:numPr>
          <w:ilvl w:val="0"/>
          <w:numId w:val="2"/>
        </w:numPr>
      </w:pPr>
      <w:r>
        <w:t xml:space="preserve">Admissions</w:t>
      </w:r>
    </w:p>
    <w:p>
      <w:pPr>
        <w:pStyle w:val="ListParagraph"/>
        <w:numPr>
          <w:ilvl w:val="0"/>
          <w:numId w:val="2"/>
        </w:numPr>
      </w:pPr>
      <w:r>
        <w:t xml:space="preserve">Office VP of Enrollment</w:t>
      </w:r>
    </w:p>
    <w:p>
      <w:pPr>
        <w:pStyle w:val="ListParagraph"/>
        <w:numPr>
          <w:ilvl w:val="0"/>
          <w:numId w:val="2"/>
        </w:numPr>
      </w:pPr>
      <w:r>
        <w:t xml:space="preserve">Student Employment</w:t>
      </w:r>
    </w:p>
    <w:p>
      <w:pPr>
        <w:pStyle w:val="ListParagraph"/>
        <w:numPr>
          <w:ilvl w:val="0"/>
          <w:numId w:val="2"/>
        </w:numPr>
      </w:pPr>
      <w:r>
        <w:t xml:space="preserve">Student Financial Services</w:t>
      </w:r>
    </w:p>
    <w:p>
      <w:pPr>
        <w:pStyle w:val="ListParagraph"/>
        <w:numPr>
          <w:ilvl w:val="0"/>
          <w:numId w:val="2"/>
        </w:numPr>
      </w:pPr>
      <w:r>
        <w:t xml:space="preserve">Belmont Innovative Labs</w:t>
      </w:r>
    </w:p>
    <w:p>
      <w:pPr>
        <w:pStyle w:val="ListParagraph"/>
        <w:numPr>
          <w:ilvl w:val="0"/>
          <w:numId w:val="2"/>
        </w:numPr>
      </w:pPr>
      <w:r>
        <w:t xml:space="preserve">Strategy &amp; Innovation/Transformation</w:t>
      </w:r>
    </w:p>
    <w:p>
      <w:pPr>
        <w:pStyle w:val="ListParagraph"/>
        <w:numPr>
          <w:ilvl w:val="0"/>
          <w:numId w:val="2"/>
        </w:numPr>
      </w:pPr>
      <w:r>
        <w:t xml:space="preserve">Belmont Formation Collaborative</w:t>
      </w:r>
    </w:p>
    <w:p>
      <w:pPr>
        <w:pStyle w:val="ListParagraph"/>
        <w:numPr>
          <w:ilvl w:val="0"/>
          <w:numId w:val="2"/>
        </w:numPr>
      </w:pPr>
      <w:r>
        <w:t xml:space="preserve">BELL Core/WELL Core</w:t>
      </w:r>
    </w:p>
    <w:p>
      <w:pPr>
        <w:pStyle w:val="ListParagraph"/>
        <w:numPr>
          <w:ilvl w:val="0"/>
          <w:numId w:val="2"/>
        </w:numPr>
      </w:pPr>
      <w:r>
        <w:t xml:space="preserve">Service-Learning</w:t>
      </w:r>
    </w:p>
    <w:p>
      <w:pPr>
        <w:pStyle w:val="ListParagraph"/>
        <w:numPr>
          <w:ilvl w:val="0"/>
          <w:numId w:val="2"/>
        </w:numPr>
      </w:pPr>
      <w:r>
        <w:t xml:space="preserve">Teaching Center</w:t>
      </w:r>
    </w:p>
    <w:p>
      <w:pPr>
        <w:pStyle w:val="ListParagraph"/>
        <w:numPr>
          <w:ilvl w:val="0"/>
          <w:numId w:val="2"/>
        </w:numPr>
      </w:pPr>
      <w:r>
        <w:t xml:space="preserve">EVP for Global Strategy &amp; Programs</w:t>
      </w:r>
    </w:p>
    <w:p>
      <w:pPr>
        <w:pStyle w:val="ListParagraph"/>
        <w:numPr>
          <w:ilvl w:val="0"/>
          <w:numId w:val="2"/>
        </w:numPr>
      </w:pPr>
      <w:r>
        <w:t xml:space="preserve">Educational Innovation</w:t>
      </w:r>
    </w:p>
    <w:p>
      <w:pPr>
        <w:pStyle w:val="ListParagraph"/>
        <w:numPr>
          <w:ilvl w:val="0"/>
          <w:numId w:val="2"/>
        </w:numPr>
      </w:pPr>
      <w:r>
        <w:t xml:space="preserve">Global Health</w:t>
      </w:r>
    </w:p>
    <w:p>
      <w:pPr>
        <w:pStyle w:val="ListParagraph"/>
        <w:numPr>
          <w:ilvl w:val="0"/>
          <w:numId w:val="2"/>
        </w:numPr>
      </w:pPr>
      <w:r>
        <w:t xml:space="preserve">Global Honors</w:t>
      </w:r>
    </w:p>
    <w:p>
      <w:pPr>
        <w:pStyle w:val="ListParagraph"/>
        <w:numPr>
          <w:ilvl w:val="0"/>
          <w:numId w:val="2"/>
        </w:numPr>
      </w:pPr>
      <w:r>
        <w:t xml:space="preserve">Belmont USA/Study Abroad</w:t>
      </w:r>
    </w:p>
    <w:p>
      <w:pPr>
        <w:pStyle w:val="ListParagraph"/>
        <w:numPr>
          <w:ilvl w:val="0"/>
          <w:numId w:val="2"/>
        </w:numPr>
      </w:pPr>
      <w:r>
        <w:t xml:space="preserve">Interdisciplinary &amp; Global Studies</w:t>
      </w:r>
    </w:p>
    <w:p>
      <w:pPr>
        <w:pStyle w:val="ListParagraph"/>
        <w:numPr>
          <w:ilvl w:val="0"/>
          <w:numId w:val="2"/>
        </w:numPr>
      </w:pPr>
      <w:r>
        <w:t xml:space="preserve">Veteran Affairs</w:t>
      </w:r>
    </w:p>
    <w:p>
      <w:pPr>
        <w:pStyle w:val="ListParagraph"/>
        <w:numPr>
          <w:ilvl w:val="0"/>
          <w:numId w:val="2"/>
        </w:numPr>
      </w:pPr>
      <w:r>
        <w:t xml:space="preserve">Fitness &amp; Recreation</w:t>
      </w:r>
    </w:p>
    <w:p>
      <w:pPr>
        <w:pStyle w:val="ListParagraph"/>
        <w:numPr>
          <w:ilvl w:val="0"/>
          <w:numId w:val="2"/>
        </w:numPr>
      </w:pPr>
      <w:r>
        <w:t xml:space="preserve">Counseling Services</w:t>
      </w:r>
    </w:p>
    <w:p>
      <w:pPr>
        <w:pStyle w:val="ListParagraph"/>
        <w:numPr>
          <w:ilvl w:val="0"/>
          <w:numId w:val="2"/>
        </w:numPr>
      </w:pPr>
      <w:r>
        <w:t xml:space="preserve">Accessibility Services</w:t>
      </w:r>
    </w:p>
    <w:p>
      <w:pPr>
        <w:pStyle w:val="ListParagraph"/>
        <w:numPr>
          <w:ilvl w:val="0"/>
          <w:numId w:val="2"/>
        </w:numPr>
      </w:pPr>
      <w:r>
        <w:t xml:space="preserve">Community Accountability</w:t>
      </w:r>
    </w:p>
    <w:p>
      <w:pPr>
        <w:pStyle w:val="ListParagraph"/>
        <w:numPr>
          <w:ilvl w:val="0"/>
          <w:numId w:val="2"/>
        </w:numPr>
      </w:pPr>
      <w:r>
        <w:t xml:space="preserve">Office of Student Formation</w:t>
      </w:r>
    </w:p>
    <w:p>
      <w:pPr>
        <w:pStyle w:val="ListParagraph"/>
        <w:numPr>
          <w:ilvl w:val="0"/>
          <w:numId w:val="2"/>
        </w:numPr>
      </w:pPr>
      <w:r>
        <w:t xml:space="preserve">Student Care &amp; Support</w:t>
      </w:r>
    </w:p>
    <w:p>
      <w:pPr>
        <w:pStyle w:val="ListParagraph"/>
        <w:numPr>
          <w:ilvl w:val="0"/>
          <w:numId w:val="2"/>
        </w:numPr>
      </w:pPr>
      <w:r>
        <w:t xml:space="preserve">Student Wellbeing</w:t>
      </w:r>
    </w:p>
    <w:p>
      <w:pPr>
        <w:pStyle w:val="ListParagraph"/>
        <w:numPr>
          <w:ilvl w:val="0"/>
          <w:numId w:val="2"/>
        </w:numPr>
      </w:pPr>
      <w:r>
        <w:t xml:space="preserve">New Student Orientation</w:t>
      </w:r>
    </w:p>
    <w:p>
      <w:pPr>
        <w:pStyle w:val="ListParagraph"/>
        <w:numPr>
          <w:ilvl w:val="0"/>
          <w:numId w:val="2"/>
        </w:numPr>
      </w:pPr>
      <w:r>
        <w:t xml:space="preserve">Community Living &amp; Housing</w:t>
      </w:r>
    </w:p>
    <w:p>
      <w:pPr>
        <w:pStyle w:val="ListParagraph"/>
        <w:numPr>
          <w:ilvl w:val="0"/>
          <w:numId w:val="2"/>
        </w:numPr>
      </w:pPr>
      <w:r>
        <w:t xml:space="preserve">Residence Life</w:t>
      </w:r>
    </w:p>
    <w:p>
      <w:pPr>
        <w:pStyle w:val="ListParagraph"/>
        <w:numPr>
          <w:ilvl w:val="0"/>
          <w:numId w:val="2"/>
        </w:numPr>
      </w:pPr>
      <w:r>
        <w:t xml:space="preserve">Leadership &amp; Engagement</w:t>
      </w:r>
    </w:p>
    <w:p>
      <w:pPr>
        <w:pStyle w:val="ListParagraph"/>
        <w:numPr>
          <w:ilvl w:val="0"/>
          <w:numId w:val="2"/>
        </w:numPr>
      </w:pPr>
      <w:r>
        <w:t xml:space="preserve">Student Engagement</w:t>
      </w:r>
    </w:p>
    <w:p>
      <w:pPr>
        <w:pStyle w:val="ListParagraph"/>
        <w:numPr>
          <w:ilvl w:val="0"/>
          <w:numId w:val="2"/>
        </w:numPr>
      </w:pPr>
      <w:r>
        <w:t xml:space="preserve">Student Health Services</w:t>
      </w:r>
    </w:p>
    <w:p>
      <w:pPr>
        <w:pStyle w:val="ListParagraph"/>
        <w:numPr>
          <w:ilvl w:val="0"/>
          <w:numId w:val="2"/>
        </w:numPr>
      </w:pPr>
      <w:r>
        <w:t xml:space="preserve">Office of Leadership Development</w:t>
      </w:r>
    </w:p>
    <w:p>
      <w:pPr>
        <w:spacing w:after="160" w:before="160"/>
      </w:pPr>
      <w:r>
        <w:rPr>
          <w:i/>
          <w:iCs/>
        </w:rPr>
        <w:t xml:space="preserve">HR Partner alignments are subject to change. For the most current information, contact </w:t>
      </w:r>
      <w:hyperlink w:history="1" r:id="rId2gbngvx_lqf2sjxz3pqvu">
        <w:r>
          <w:rPr>
            <w:rStyle w:val="Hyperlink"/>
          </w:rPr>
          <w:t xml:space="preserve">hr@belmont.edu</w:t>
        </w:r>
      </w:hyperlink>
      <w:r>
        <w:rPr>
          <w:i/>
          <w:iCs/>
        </w:rPr>
        <w:t xml:space="preserve"> or 615.460.6456.</w:t>
      </w:r>
    </w:p>
    <w:p>
      <w:pPr>
        <w:pStyle w:val="Heading2"/>
      </w:pPr>
      <w:r>
        <w:t xml:space="preserve">HR Operations &amp; Engagement</w:t>
      </w:r>
    </w:p>
    <w:p>
      <w:pPr>
        <w:spacing w:after="160"/>
      </w:pPr>
      <w:r>
        <w:t xml:space="preserve">Leads operational strategy, effectiveness and communications for the HR department while shaping the programs that strengthen employee experience, connection and culture across every stage of the employee lifecycle, including onboarding, compliance workflows and engagement initiatives.</w:t>
      </w:r>
    </w:p>
    <w:p>
      <w:pPr>
        <w:spacing w:after="80" w:before="120"/>
      </w:pPr>
      <w:r>
        <w:rPr>
          <w:b/>
          <w:bCs/>
        </w:rPr>
        <w:t xml:space="preserve">We're here to help with:</w:t>
      </w:r>
    </w:p>
    <w:p>
      <w:pPr>
        <w:pStyle w:val="ListParagraph"/>
        <w:numPr>
          <w:ilvl w:val="0"/>
          <w:numId w:val="2"/>
        </w:numPr>
      </w:pPr>
      <w:r>
        <w:t xml:space="preserve">Preparing for a new hire's first day and orientation experience</w:t>
      </w:r>
    </w:p>
    <w:p>
      <w:pPr>
        <w:pStyle w:val="ListParagraph"/>
        <w:numPr>
          <w:ilvl w:val="0"/>
          <w:numId w:val="2"/>
        </w:numPr>
      </w:pPr>
      <w:r>
        <w:t xml:space="preserve">Navigating an employee's offboarding or separation process</w:t>
      </w:r>
    </w:p>
    <w:p>
      <w:pPr>
        <w:pStyle w:val="ListParagraph"/>
        <w:numPr>
          <w:ilvl w:val="0"/>
          <w:numId w:val="2"/>
        </w:numPr>
      </w:pPr>
      <w:r>
        <w:t xml:space="preserve">Support with HR systems, forms and recordkeeping</w:t>
      </w:r>
    </w:p>
    <w:p>
      <w:pPr>
        <w:pStyle w:val="ListParagraph"/>
        <w:numPr>
          <w:ilvl w:val="0"/>
          <w:numId w:val="2"/>
        </w:numPr>
      </w:pPr>
      <w:r>
        <w:t xml:space="preserve">Connecting your team to engagement programs</w:t>
      </w:r>
    </w:p>
    <w:p>
      <w:pPr>
        <w:pStyle w:val="ListParagraph"/>
        <w:numPr>
          <w:ilvl w:val="0"/>
          <w:numId w:val="2"/>
        </w:numPr>
      </w:pPr>
      <w:r>
        <w:t xml:space="preserve">Guidance on departmental strategy, communications or operational effectiveness</w:t>
      </w:r>
    </w:p>
    <w:p>
      <w:pPr>
        <w:spacing w:after="80"/>
      </w:pPr>
    </w:p>
    <w:p>
      <w:pPr>
        <w:pStyle w:val="Heading3"/>
      </w:pPr>
      <w:r>
        <w:t xml:space="preserve">Team</w:t>
      </w:r>
    </w:p>
    <w:p>
      <w:pPr>
        <w:pStyle w:val="Heading4"/>
      </w:pPr>
      <w:r>
        <w:t xml:space="preserve">Chance Ryon</w:t>
      </w:r>
    </w:p>
    <w:p>
      <w:pPr>
        <w:spacing w:after="160"/>
      </w:pPr>
      <w:r>
        <w:rPr>
          <w:i/>
          <w:iCs/>
        </w:rPr>
        <w:t xml:space="preserve">Manager, HR Operations &amp; Engagement</w:t>
      </w:r>
    </w:p>
    <w:p>
      <w:pPr>
        <w:spacing w:after="160"/>
      </w:pPr>
      <w:r>
        <w:t xml:space="preserve">Partners closely with the CHRO and HR leadership on departmental strategy, leading operational effectiveness, communications and engagement initiatives across the team.</w:t>
      </w:r>
    </w:p>
    <w:p>
      <w:pPr>
        <w:pStyle w:val="Heading4"/>
      </w:pPr>
      <w:r>
        <w:t xml:space="preserve">J.D. Peery</w:t>
      </w:r>
    </w:p>
    <w:p>
      <w:pPr>
        <w:spacing w:after="160"/>
      </w:pPr>
      <w:r>
        <w:rPr>
          <w:i/>
          <w:iCs/>
        </w:rPr>
        <w:t xml:space="preserve">HR Coordinator</w:t>
      </w:r>
    </w:p>
    <w:p>
      <w:pPr>
        <w:spacing w:after="160"/>
      </w:pPr>
      <w:r>
        <w:t xml:space="preserve">The frontline of HR's employee experience, guiding new hires through their first days and providing ongoing support across the HR team and the broader Belmont community.</w:t>
      </w:r>
    </w:p>
    <w:p>
      <w:pPr>
        <w:pStyle w:val="Heading2"/>
      </w:pPr>
      <w:r>
        <w:t xml:space="preserve">Compensation &amp; People Analytics</w:t>
      </w:r>
    </w:p>
    <w:p>
      <w:pPr>
        <w:spacing w:after="160"/>
      </w:pPr>
      <w:r>
        <w:t xml:space="preserve">Designs and maintains Belmont's compensation structures to ensure roles are positioned competitively and equitably. This team also manages the people data and systems that help HR make informed, strategic decisions.</w:t>
      </w:r>
    </w:p>
    <w:p>
      <w:pPr>
        <w:spacing w:after="80" w:before="120"/>
      </w:pPr>
      <w:r>
        <w:rPr>
          <w:b/>
          <w:bCs/>
        </w:rPr>
        <w:t xml:space="preserve">We're here to help with:</w:t>
      </w:r>
    </w:p>
    <w:p>
      <w:pPr>
        <w:pStyle w:val="ListParagraph"/>
        <w:numPr>
          <w:ilvl w:val="0"/>
          <w:numId w:val="2"/>
        </w:numPr>
      </w:pPr>
      <w:r>
        <w:t xml:space="preserve">Requesting a compensation review for current or new position</w:t>
      </w:r>
    </w:p>
    <w:p>
      <w:pPr>
        <w:pStyle w:val="ListParagraph"/>
        <w:numPr>
          <w:ilvl w:val="0"/>
          <w:numId w:val="2"/>
        </w:numPr>
      </w:pPr>
      <w:r>
        <w:t xml:space="preserve">Understanding how a role is classified or banded</w:t>
      </w:r>
    </w:p>
    <w:p>
      <w:pPr>
        <w:pStyle w:val="ListParagraph"/>
        <w:numPr>
          <w:ilvl w:val="0"/>
          <w:numId w:val="2"/>
        </w:numPr>
      </w:pPr>
      <w:r>
        <w:t xml:space="preserve">Accessing people data or workforce reports to assist in making decisions</w:t>
      </w:r>
    </w:p>
    <w:p>
      <w:pPr>
        <w:pStyle w:val="ListParagraph"/>
        <w:numPr>
          <w:ilvl w:val="0"/>
          <w:numId w:val="2"/>
        </w:numPr>
      </w:pPr>
      <w:r>
        <w:t xml:space="preserve">Ensuring pay equity across your team or department</w:t>
      </w:r>
    </w:p>
    <w:p>
      <w:pPr>
        <w:spacing w:after="80"/>
      </w:pPr>
    </w:p>
    <w:p>
      <w:pPr>
        <w:pStyle w:val="Heading3"/>
      </w:pPr>
      <w:r>
        <w:t xml:space="preserve">Team</w:t>
      </w:r>
    </w:p>
    <w:p>
      <w:pPr>
        <w:pStyle w:val="Heading4"/>
      </w:pPr>
      <w:r>
        <w:t xml:space="preserve">Kim Carr</w:t>
      </w:r>
    </w:p>
    <w:p>
      <w:pPr>
        <w:spacing w:after="160"/>
      </w:pPr>
      <w:r>
        <w:rPr>
          <w:i/>
          <w:iCs/>
        </w:rPr>
        <w:t xml:space="preserve">Director of Compensation</w:t>
      </w:r>
    </w:p>
    <w:p>
      <w:pPr>
        <w:spacing w:after="160"/>
      </w:pPr>
      <w:r>
        <w:t xml:space="preserve">Leads Belmont's compensation strategy, ensuring roles are positioned competitively and equitably across the University.</w:t>
      </w:r>
    </w:p>
    <w:p>
      <w:pPr>
        <w:pStyle w:val="Heading4"/>
      </w:pPr>
      <w:r>
        <w:t xml:space="preserve">Jason Pappas</w:t>
      </w:r>
    </w:p>
    <w:p>
      <w:pPr>
        <w:spacing w:after="160"/>
      </w:pPr>
      <w:r>
        <w:rPr>
          <w:i/>
          <w:iCs/>
        </w:rPr>
        <w:t xml:space="preserve">Manager, People Analytics &amp; Systems</w:t>
      </w:r>
    </w:p>
    <w:p>
      <w:pPr>
        <w:spacing w:after="160"/>
      </w:pPr>
      <w:r>
        <w:t xml:space="preserve">Manages Belmont's HR data infrastructure, building the systems and dashboards that turn information into clear, actionable insight.</w:t>
      </w:r>
    </w:p>
    <w:p>
      <w:pPr>
        <w:pStyle w:val="Heading2"/>
      </w:pPr>
      <w:r>
        <w:t xml:space="preserve">Benefits</w:t>
      </w:r>
    </w:p>
    <w:p>
      <w:pPr>
        <w:spacing w:after="160"/>
      </w:pPr>
      <w:r>
        <w:t xml:space="preserve">Administers Belmont's comprehensive benefits programs, supporting employees in understanding and making the most of their health, retirement and wellness options throughout their employment.</w:t>
      </w:r>
    </w:p>
    <w:p>
      <w:pPr>
        <w:spacing w:after="80" w:before="120"/>
      </w:pPr>
      <w:r>
        <w:rPr>
          <w:b/>
          <w:bCs/>
        </w:rPr>
        <w:t xml:space="preserve">We're here to help with:</w:t>
      </w:r>
    </w:p>
    <w:p>
      <w:pPr>
        <w:pStyle w:val="ListParagraph"/>
        <w:numPr>
          <w:ilvl w:val="0"/>
          <w:numId w:val="2"/>
        </w:numPr>
      </w:pPr>
      <w:r>
        <w:t xml:space="preserve">Connecting an employee to benefits enrollment or options</w:t>
      </w:r>
    </w:p>
    <w:p>
      <w:pPr>
        <w:pStyle w:val="ListParagraph"/>
        <w:numPr>
          <w:ilvl w:val="0"/>
          <w:numId w:val="2"/>
        </w:numPr>
      </w:pPr>
      <w:r>
        <w:t xml:space="preserve">Navigating a leave of absence, FMLA or disability process</w:t>
      </w:r>
    </w:p>
    <w:p>
      <w:pPr>
        <w:pStyle w:val="ListParagraph"/>
        <w:numPr>
          <w:ilvl w:val="0"/>
          <w:numId w:val="2"/>
        </w:numPr>
      </w:pPr>
      <w:r>
        <w:t xml:space="preserve">Understanding retirement plan options and resources</w:t>
      </w:r>
    </w:p>
    <w:p>
      <w:pPr>
        <w:spacing w:after="80"/>
      </w:pPr>
    </w:p>
    <w:p>
      <w:pPr>
        <w:pStyle w:val="Heading3"/>
      </w:pPr>
      <w:r>
        <w:t xml:space="preserve">Team</w:t>
      </w:r>
    </w:p>
    <w:p>
      <w:pPr>
        <w:pStyle w:val="Heading4"/>
      </w:pPr>
      <w:r>
        <w:t xml:space="preserve">Roslian Humphrey</w:t>
      </w:r>
    </w:p>
    <w:p>
      <w:pPr>
        <w:spacing w:after="160"/>
      </w:pPr>
      <w:r>
        <w:rPr>
          <w:i/>
          <w:iCs/>
        </w:rPr>
        <w:t xml:space="preserve">Director of Benefits</w:t>
      </w:r>
    </w:p>
    <w:p>
      <w:pPr>
        <w:spacing w:after="160"/>
      </w:pPr>
      <w:r>
        <w:t xml:space="preserve">Leads Belmont's benefits strategy, ensuring employees have clear, trusted guidance on health, retirement and wellness options.</w:t>
      </w:r>
    </w:p>
    <w:p>
      <w:pPr>
        <w:pStyle w:val="Heading4"/>
      </w:pPr>
      <w:r>
        <w:t xml:space="preserve">Mandy Hodge</w:t>
      </w:r>
    </w:p>
    <w:p>
      <w:pPr>
        <w:spacing w:after="160"/>
      </w:pPr>
      <w:r>
        <w:rPr>
          <w:i/>
          <w:iCs/>
        </w:rPr>
        <w:t xml:space="preserve">Benefits Specialist</w:t>
      </w:r>
    </w:p>
    <w:p>
      <w:pPr>
        <w:spacing w:after="160"/>
      </w:pPr>
      <w:r>
        <w:t xml:space="preserve">Helps employees navigate enrollment, leave processes and day-to-day benefits questions with care and clarity.</w:t>
      </w:r>
    </w:p>
    <w:p>
      <w:pPr>
        <w:pStyle w:val="Heading2"/>
      </w:pPr>
      <w:r>
        <w:t xml:space="preserve">Talent Acquisition</w:t>
      </w:r>
    </w:p>
    <w:p>
      <w:pPr>
        <w:spacing w:after="160"/>
      </w:pPr>
      <w:r>
        <w:t xml:space="preserve">Shapes Belmont's recruitment strategy and leads the full lifecycle of staff hiring, partnering with campus leaders to build strong candidate pipelines and ensure hiring practices reflect the University's mission and institutional strategy.</w:t>
      </w:r>
    </w:p>
    <w:p>
      <w:pPr>
        <w:spacing w:after="80" w:before="120"/>
      </w:pPr>
      <w:r>
        <w:rPr>
          <w:b/>
          <w:bCs/>
        </w:rPr>
        <w:t xml:space="preserve">We're here to help with:</w:t>
      </w:r>
    </w:p>
    <w:p>
      <w:pPr>
        <w:pStyle w:val="ListParagraph"/>
        <w:numPr>
          <w:ilvl w:val="0"/>
          <w:numId w:val="2"/>
        </w:numPr>
      </w:pPr>
      <w:r>
        <w:t xml:space="preserve">Developing a sourcing or recruitment strategy for a hard-to-fill role</w:t>
      </w:r>
    </w:p>
    <w:p>
      <w:pPr>
        <w:pStyle w:val="ListParagraph"/>
        <w:numPr>
          <w:ilvl w:val="0"/>
          <w:numId w:val="2"/>
        </w:numPr>
      </w:pPr>
      <w:r>
        <w:t xml:space="preserve">Guidance on interview practices and search committee facilitation</w:t>
      </w:r>
    </w:p>
    <w:p>
      <w:pPr>
        <w:pStyle w:val="ListParagraph"/>
        <w:numPr>
          <w:ilvl w:val="0"/>
          <w:numId w:val="2"/>
        </w:numPr>
      </w:pPr>
      <w:r>
        <w:t xml:space="preserve">Understanding hiring timelines, offer parameters and onboarding handoffs</w:t>
      </w:r>
    </w:p>
    <w:p>
      <w:pPr>
        <w:spacing w:after="80"/>
      </w:pPr>
    </w:p>
    <w:p>
      <w:pPr>
        <w:pStyle w:val="Heading3"/>
      </w:pPr>
      <w:r>
        <w:t xml:space="preserve">Team</w:t>
      </w:r>
    </w:p>
    <w:p>
      <w:pPr>
        <w:pStyle w:val="Heading4"/>
      </w:pPr>
      <w:r>
        <w:t xml:space="preserve">Jenn Knapp</w:t>
      </w:r>
    </w:p>
    <w:p>
      <w:pPr>
        <w:spacing w:after="160"/>
      </w:pPr>
      <w:r>
        <w:rPr>
          <w:i/>
          <w:iCs/>
        </w:rPr>
        <w:t xml:space="preserve">Manager, Talent Acquisition</w:t>
      </w:r>
    </w:p>
    <w:p>
      <w:pPr>
        <w:spacing w:after="160"/>
      </w:pPr>
      <w:r>
        <w:t xml:space="preserve">Builds Belmont's recruitment philosophy and strategy, equipping hiring leaders across campus to carry out hiring in a way that reflects the University's mission and Christ-centered identity.</w:t>
      </w:r>
    </w:p>
    <w:p>
      <w:pPr>
        <w:pStyle w:val="Heading2"/>
      </w:pPr>
      <w:r>
        <w:t xml:space="preserve">Title IX &amp; Institutional Compliance</w:t>
      </w:r>
    </w:p>
    <w:p>
      <w:pPr>
        <w:spacing w:after="160"/>
      </w:pPr>
      <w:r>
        <w:t xml:space="preserve">Supports a safe, equitable campus environment by overseeing Belmont's Title IX obligations and institutional compliance responsibilities. This team ensures the University's policies and practices align with federal regulation and reflect our values of dignity, care and integrity.</w:t>
      </w:r>
    </w:p>
    <w:p>
      <w:pPr>
        <w:spacing w:after="80" w:before="120"/>
      </w:pPr>
      <w:r>
        <w:rPr>
          <w:b/>
          <w:bCs/>
        </w:rPr>
        <w:t xml:space="preserve">We're here to help with:</w:t>
      </w:r>
    </w:p>
    <w:p>
      <w:pPr>
        <w:pStyle w:val="ListParagraph"/>
        <w:numPr>
          <w:ilvl w:val="0"/>
          <w:numId w:val="2"/>
        </w:numPr>
      </w:pPr>
      <w:r>
        <w:t xml:space="preserve">Reporting or responding to a Title IX concern</w:t>
      </w:r>
    </w:p>
    <w:p>
      <w:pPr>
        <w:pStyle w:val="ListParagraph"/>
        <w:numPr>
          <w:ilvl w:val="0"/>
          <w:numId w:val="2"/>
        </w:numPr>
      </w:pPr>
      <w:r>
        <w:t xml:space="preserve">Understanding your obligations as a supervisor under federal regulation</w:t>
      </w:r>
    </w:p>
    <w:p>
      <w:pPr>
        <w:pStyle w:val="ListParagraph"/>
        <w:numPr>
          <w:ilvl w:val="0"/>
          <w:numId w:val="2"/>
        </w:numPr>
      </w:pPr>
      <w:r>
        <w:t xml:space="preserve">Policy guidance related to harassment, discrimination or equity</w:t>
      </w:r>
    </w:p>
    <w:p>
      <w:pPr>
        <w:pStyle w:val="ListParagraph"/>
        <w:numPr>
          <w:ilvl w:val="0"/>
          <w:numId w:val="2"/>
        </w:numPr>
      </w:pPr>
      <w:r>
        <w:t xml:space="preserve">Training resources for your team on compliance topics</w:t>
      </w:r>
    </w:p>
    <w:p>
      <w:pPr>
        <w:spacing w:after="80"/>
      </w:pPr>
    </w:p>
    <w:p>
      <w:pPr>
        <w:pStyle w:val="Heading3"/>
      </w:pPr>
      <w:r>
        <w:t xml:space="preserve">Team</w:t>
      </w:r>
    </w:p>
    <w:p>
      <w:pPr>
        <w:pStyle w:val="Heading4"/>
      </w:pPr>
      <w:r>
        <w:t xml:space="preserve">Catherine Buttrey, J.D.</w:t>
      </w:r>
    </w:p>
    <w:p>
      <w:pPr>
        <w:spacing w:after="160"/>
      </w:pPr>
      <w:r>
        <w:rPr>
          <w:i/>
          <w:iCs/>
        </w:rPr>
        <w:t xml:space="preserve">Director of Title IX &amp; Institutional Compliance</w:t>
      </w:r>
    </w:p>
    <w:p>
      <w:pPr>
        <w:spacing w:after="160"/>
      </w:pPr>
      <w:r>
        <w:t xml:space="preserve">Serves as Belmont's Title IX Coordinator, overseeing the University's response to sexual misconduct, discrimination and harassment, from investigation and resolution to prevention education, while ensuring fair, consistent and legally compliant processes across campus.</w:t>
      </w:r>
    </w:p>
    <w:p>
      <w:pPr>
        <w:pStyle w:val="Heading4"/>
      </w:pPr>
      <w:r>
        <w:t xml:space="preserve">Sierra Bowens, J.D.</w:t>
      </w:r>
    </w:p>
    <w:p>
      <w:pPr>
        <w:spacing w:after="160"/>
      </w:pPr>
      <w:r>
        <w:rPr>
          <w:i/>
          <w:iCs/>
        </w:rPr>
        <w:t xml:space="preserve">Institutional Compliance Specialist</w:t>
      </w:r>
    </w:p>
    <w:p>
      <w:pPr>
        <w:spacing w:after="160"/>
      </w:pPr>
      <w:r>
        <w:t xml:space="preserve">Safeguards a fair, legally compliant student experience by investigating and consulting on civil rights complaints involving disability, race and sex discrimination or harassment.</w:t>
      </w:r>
    </w:p>
    <w:p>
      <w:pPr>
        <w:pStyle w:val="Heading4"/>
      </w:pPr>
      <w:r>
        <w:t xml:space="preserve">Naomi Ordonez</w:t>
      </w:r>
    </w:p>
    <w:p>
      <w:pPr>
        <w:spacing w:after="160"/>
      </w:pPr>
      <w:r>
        <w:rPr>
          <w:i/>
          <w:iCs/>
        </w:rPr>
        <w:t xml:space="preserve">Case Compliance Coordinator</w:t>
      </w:r>
    </w:p>
    <w:p>
      <w:pPr>
        <w:spacing w:after="160"/>
      </w:pPr>
      <w:r>
        <w:t xml:space="preserve">Supports students through case management and advocacy, coordinates investigation and hearing logistics, and partners with campus stakeholders to ensure compliance standards are applied consistently.</w:t>
      </w:r>
    </w:p>
    <w:p>
      <w:pPr>
        <w:pStyle w:val="Heading1"/>
      </w:pPr>
      <w:r>
        <w:t xml:space="preserve">Our Mission</w:t>
      </w:r>
    </w:p>
    <w:p>
      <w:pPr>
        <w:spacing w:after="160"/>
      </w:pPr>
      <w:r>
        <w:t xml:space="preserve">We are a Christian, student-focused community, dedicated to developing diverse leaders of purpose, character, wisdom and transformational mindset, eager and equipped to make the world a better place.</w:t>
      </w:r>
    </w:p>
    <w:p>
      <w:pPr>
        <w:pStyle w:val="Heading1"/>
      </w:pPr>
      <w:r>
        <w:t xml:space="preserve">Connect With Us</w:t>
      </w:r>
    </w:p>
    <w:p>
      <w:pPr>
        <w:spacing w:after="160"/>
      </w:pPr>
      <w:r>
        <w:t xml:space="preserve">We're here to help. Whether you have a quick question or a complex people challenge, HR is your partner.</w:t>
      </w:r>
    </w:p>
    <w:p>
      <w:pPr>
        <w:spacing w:after="80"/>
      </w:pPr>
      <w:r>
        <w:rPr>
          <w:b/>
          <w:bCs/>
        </w:rPr>
        <w:t xml:space="preserve">Phone: </w:t>
      </w:r>
      <w:r>
        <w:t xml:space="preserve">615.460.6456</w:t>
      </w:r>
    </w:p>
    <w:p>
      <w:pPr>
        <w:spacing w:after="80"/>
      </w:pPr>
      <w:r>
        <w:rPr>
          <w:b/>
          <w:bCs/>
        </w:rPr>
        <w:t xml:space="preserve">Email: </w:t>
      </w:r>
      <w:hyperlink w:history="1" r:id="rIdkbnx3s9qwdu6emclpwq_4">
        <w:r>
          <w:rPr>
            <w:rStyle w:val="Hyperlink"/>
          </w:rPr>
          <w:t xml:space="preserve">hr@belmont.edu</w:t>
        </w:r>
      </w:hyperlink>
    </w:p>
    <w:p>
      <w:pPr>
        <w:spacing w:after="80"/>
      </w:pPr>
      <w:r>
        <w:rPr>
          <w:b/>
          <w:bCs/>
        </w:rPr>
        <w:t xml:space="preserve">Website: </w:t>
      </w:r>
      <w:hyperlink w:history="1" r:id="rId1fqlxp2rjpekqnzuzcsuq">
        <w:r>
          <w:rPr>
            <w:rStyle w:val="Hyperlink"/>
          </w:rPr>
          <w:t xml:space="preserve">belmont.edu/hr</w:t>
        </w:r>
      </w:hyperlink>
    </w:p>
    <w:p>
      <w:pPr>
        <w:spacing w:after="160"/>
      </w:pPr>
      <w:r>
        <w:rPr>
          <w:b/>
          <w:bCs/>
        </w:rPr>
        <w:t xml:space="preserve">Location: </w:t>
      </w:r>
      <w:r>
        <w:t xml:space="preserve">Fidelity Hall, 4th Floor</w:t>
      </w:r>
    </w:p>
    <w:p>
      <w:pPr>
        <w:pStyle w:val="Heading1"/>
      </w:pPr>
      <w:r>
        <w:t xml:space="preserve">Non-Discrimination Statement</w:t>
      </w:r>
    </w:p>
    <w:p>
      <w:pPr>
        <w:spacing w:after="160"/>
      </w:pPr>
      <w:r>
        <w:t xml:space="preserve">Belmont University is a Christ-centered community. The University faculty, administration, and staff uphold Jesus as the Christ and as the measure for all things. As a community seeking to uphold Christian standards of morality, ethics, and conduct, Belmont University holds high expectations of each person who chooses to join the community. Central to Belmont University's Christ-centered mission is the Imago Dei, the image of God present in every human being. Belmont University therefore honors every individual with dignity and respect and seeks a campus culture where every member is seen, valued, and called according to God's purpose.</w:t>
      </w:r>
    </w:p>
    <w:p>
      <w:pPr>
        <w:spacing w:after="160"/>
      </w:pPr>
      <w:r>
        <w:t xml:space="preserve">In recognition of God's design for humanity and rooted in the life, death, and resurrection of Jesus Christ, Belmont University does not discriminate against individuals on the basis of race, color, ethnicity, national origin, sex, age, disability, military service, veteran status, sexual orientation, or any other classification protected by law in its policies, programs, activities, or practices. This policy complies with applicable federal, state, and local non-discrimination laws and regulations, including provisions of Title IX of the Education Amendments of 1972; Title VI of the Civil Rights Act of 1964; Title VII of the Civil Rights Act of 1964; the Age Discrimination in Employment Act; Section 504 of the Rehabilitation Act of 1973; the Americans with Disabilities Act; the Tennessee Human Rights Act; and Title 49, Chapter 7, Part 1 of the Tennessee Code Annotated. This policy applies to all recruitment, admissions, financial aid, educational, employment, or other University-administered policies, programs, activities, or practices.*</w:t>
      </w:r>
    </w:p>
    <w:p>
      <w:pPr>
        <w:spacing w:after="160"/>
      </w:pPr>
      <w:r>
        <w:t xml:space="preserve">*Consistent with applicable law, Belmont University primarily hires employees of the Christian faith who are committed to supporting the University's Christ-centered mission. In accordance with accrediting standards for its professional education programs in law and medicine, Belmont University does not apply religious criteria in hiring employees within those programs. All employees hired by Belmont University, regardless of religious faith, shall be committed to supporting the University's Christ-centered, student-focused mission.</w:t>
      </w:r>
    </w:p>
    <w:p>
      <w:pPr>
        <w:spacing w:after="160"/>
      </w:pPr>
      <w:r>
        <w:t xml:space="preserve">Inquiries or complaints related to sex discrimination (including sexual harassment, sexual orientation, and/or pregnancy) or other forms of discrimination/harassment (e.g., race, color, national or ethnic origin, disability, age, military service) should be directed to:</w:t>
      </w:r>
    </w:p>
    <w:p>
      <w:pPr>
        <w:spacing w:after="160"/>
      </w:pPr>
      <w:r>
        <w:t xml:space="preserve">Cleo Rucker, J.D., AVP &amp; Chief Human Resources Officer &amp; Deputy Title IX Coordinator, Fidelity Hall, Room 420, 1900 Belmont Boulevard, Nashville, TN 37212, 615-460-6456, </w:t>
      </w:r>
      <w:hyperlink w:history="1" r:id="rIdwrwdk6pusr-yxb4y1gwzf">
        <w:r>
          <w:rPr>
            <w:rStyle w:val="Hyperlink"/>
          </w:rPr>
          <w:t xml:space="preserve">cleo.rucker@belmont.edu</w:t>
        </w:r>
      </w:hyperlink>
    </w:p>
    <w:p>
      <w:pPr>
        <w:spacing w:after="160"/>
      </w:pPr>
      <w:r>
        <w:t xml:space="preserve">Or:</w:t>
      </w:r>
    </w:p>
    <w:p>
      <w:pPr>
        <w:spacing w:after="160"/>
      </w:pPr>
      <w:r>
        <w:t xml:space="preserve">Catherine Buttrey, J.D., Director of Institutional Compliance/Title IX Coordinator, Fidelity Hall, 4th Floor, 1900 Belmont Boulevard, Nashville, TN 37212, 615-460-6894, </w:t>
      </w:r>
      <w:hyperlink w:history="1" r:id="rIdgvft1i5j3c3oqcupwpjtl">
        <w:r>
          <w:rPr>
            <w:rStyle w:val="Hyperlink"/>
          </w:rPr>
          <w:t xml:space="preserve">catherine.buttrey@belmont.edu</w:t>
        </w:r>
      </w:hyperlink>
    </w:p>
    <w:p>
      <w:pPr>
        <w:spacing w:after="160"/>
      </w:pPr>
      <w:r>
        <w:t xml:space="preserve">Any person may report sex discrimination, including sexual harassment (whether or not the person reporting is the person alleged to be the victim of conduct that could constitute sex discrimination or harassment), to the Title IX Coordinator/Deputy in person, by mail, by telephone, or by electronic mail, including during non-business hours. Incidents of sex discrimination may also be reported to the federal Department of Education, Office of Civil Rights, Assistant Secretary.</w:t>
      </w:r>
    </w:p>
    <w:p>
      <w:pPr>
        <w:spacing w:after="160"/>
      </w:pPr>
      <w:r>
        <w:t xml:space="preserve">09.2026</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4"/>
        <w:szCs w:val="24"/>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pPr>
    <w:rPr>
      <w:b/>
      <w:bCs/>
      <w:color w:val="002D62"/>
      <w:sz w:val="44"/>
      <w:szCs w:val="44"/>
    </w:rPr>
  </w:style>
  <w:style w:type="paragraph" w:styleId="Heading1">
    <w:name w:val="Heading 1"/>
    <w:basedOn w:val="Normal"/>
    <w:next w:val="Normal"/>
    <w:qFormat/>
    <w:pPr>
      <w:spacing w:after="160" w:before="360"/>
      <w:outlineLvl w:val="0"/>
    </w:pPr>
    <w:rPr>
      <w:b/>
      <w:bCs/>
      <w:color w:val="002D62"/>
      <w:sz w:val="36"/>
      <w:szCs w:val="36"/>
    </w:rPr>
  </w:style>
  <w:style w:type="paragraph" w:styleId="Heading2">
    <w:name w:val="Heading 2"/>
    <w:basedOn w:val="Normal"/>
    <w:next w:val="Normal"/>
    <w:qFormat/>
    <w:pPr>
      <w:spacing w:after="120" w:before="320"/>
      <w:outlineLvl w:val="1"/>
    </w:pPr>
    <w:rPr>
      <w:b/>
      <w:bCs/>
      <w:color w:val="002D62"/>
      <w:sz w:val="30"/>
      <w:szCs w:val="30"/>
    </w:rPr>
  </w:style>
  <w:style w:type="paragraph" w:styleId="Heading3">
    <w:name w:val="Heading 3"/>
    <w:basedOn w:val="Normal"/>
    <w:next w:val="Normal"/>
    <w:qFormat/>
    <w:pPr>
      <w:spacing w:after="100" w:before="240"/>
      <w:outlineLvl w:val="2"/>
    </w:pPr>
    <w:rPr>
      <w:b/>
      <w:bCs/>
      <w:color w:val="000000"/>
      <w:sz w:val="26"/>
      <w:szCs w:val="26"/>
    </w:rPr>
  </w:style>
  <w:style w:type="paragraph" w:styleId="Heading4">
    <w:name w:val="Heading 4"/>
    <w:basedOn w:val="Normal"/>
    <w:next w:val="Normal"/>
    <w:qFormat/>
    <w:pPr>
      <w:spacing w:after="40" w:before="200"/>
      <w:outlineLvl w:val="3"/>
    </w:pPr>
    <w:rPr>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gbngvx_lqf2sjxz3pqvu" Type="http://schemas.openxmlformats.org/officeDocument/2006/relationships/hyperlink" Target="mailto:hr@belmont.edu" TargetMode="External"/><Relationship Id="rIdkbnx3s9qwdu6emclpwq_4" Type="http://schemas.openxmlformats.org/officeDocument/2006/relationships/hyperlink" Target="mailto:hr@belmont.edu" TargetMode="External"/><Relationship Id="rId1fqlxp2rjpekqnzuzcsuq" Type="http://schemas.openxmlformats.org/officeDocument/2006/relationships/hyperlink" Target="https://www.belmont.edu/hr" TargetMode="External"/><Relationship Id="rIdwrwdk6pusr-yxb4y1gwzf" Type="http://schemas.openxmlformats.org/officeDocument/2006/relationships/hyperlink" Target="mailto:cleo.rucker@belmont.edu" TargetMode="External"/><Relationship Id="rIdgvft1i5j3c3oqcupwpjtl" Type="http://schemas.openxmlformats.org/officeDocument/2006/relationships/hyperlink" Target="mailto:catherine.buttrey@belmont.edu"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Viewbook 2026: Accessible Text Version</dc:title>
  <dc:creator>Belmont University Office of Human Resources</dc:creator>
  <dc:description>Text-only accessible version of the Office of Human Resources, Title IX &amp; Institutional Compliance viewbook</dc:description>
  <cp:lastModifiedBy>Un-named</cp:lastModifiedBy>
  <cp:revision>1</cp:revision>
  <dcterms:created xsi:type="dcterms:W3CDTF">2026-09-25T17:57:39.408Z</dcterms:created>
  <dcterms:modified xsi:type="dcterms:W3CDTF">2026-09-25T17:57:39.419Z</dcterms:modified>
</cp:coreProperties>
</file>

<file path=docProps/custom.xml><?xml version="1.0" encoding="utf-8"?>
<Properties xmlns="http://schemas.openxmlformats.org/officeDocument/2006/custom-properties" xmlns:vt="http://schemas.openxmlformats.org/officeDocument/2006/docPropsVTypes"/>
</file>